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国际商务谈判</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2"/>
        <w:gridCol w:w="40"/>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eastAsia="zh-CN"/>
              </w:rPr>
              <w:t>国际商务谈判</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课程英文名称：International Business Negotiation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eastAsia="zh-CN"/>
              </w:rPr>
              <w:t>3</w:t>
            </w:r>
            <w:r>
              <w:rPr>
                <w:rFonts w:hint="eastAsia" w:ascii="宋体" w:hAnsi="宋体" w:eastAsia="宋体"/>
                <w:b/>
                <w:sz w:val="21"/>
                <w:szCs w:val="21"/>
                <w:lang w:val="en-US" w:eastAsia="zh-CN"/>
              </w:rPr>
              <w:t>2</w:t>
            </w:r>
            <w:bookmarkStart w:id="0" w:name="_GoBack"/>
            <w:bookmarkEnd w:id="0"/>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lang w:eastAsia="zh-CN"/>
              </w:rPr>
              <w:t>/</w:t>
            </w:r>
            <w:r>
              <w:rPr>
                <w:rFonts w:hint="eastAsia" w:ascii="宋体" w:hAnsi="宋体" w:eastAsia="宋体"/>
                <w:sz w:val="21"/>
                <w:szCs w:val="21"/>
                <w:lang w:val="en-US" w:eastAsia="zh-CN"/>
              </w:rPr>
              <w:t>2</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管理学、国际商法、市场营销学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1-16周周二56节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莞城校区7411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sz w:val="21"/>
                <w:szCs w:val="21"/>
                <w:lang w:eastAsia="zh-CN"/>
              </w:rPr>
              <w:t>2015经济金融34班</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任课教师姓名/职称：欧阳波/讲师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13829231245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30171895@qq.com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eastAsia="楷体_GB2312"/>
                <w:szCs w:val="21"/>
              </w:rPr>
              <w:t>课间休息答疑、通过电子邮件、qq、微信答疑、特约答疑、期中、期末统一答疑。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rFonts w:hint="eastAsia" w:asciiTheme="minorEastAsia" w:hAnsiTheme="minorEastAsia" w:eastAsiaTheme="minorEastAsia"/>
                <w:b/>
                <w:szCs w:val="21"/>
                <w:lang w:eastAsia="zh-CN"/>
              </w:rPr>
              <w:t xml:space="preserve"> </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w:t>
            </w:r>
            <w:r>
              <w:rPr>
                <w:b/>
                <w:szCs w:val="21"/>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0" w:beforeAutospacing="0" w:after="0" w:afterAutospacing="0" w:line="360" w:lineRule="atLeast"/>
              <w:rPr>
                <w:rFonts w:ascii="Verdana" w:hAnsi="Verdana"/>
                <w:color w:val="323232"/>
                <w:sz w:val="27"/>
                <w:szCs w:val="27"/>
              </w:rPr>
            </w:pPr>
            <w:r>
              <w:rPr>
                <w:rFonts w:hint="eastAsia"/>
                <w:sz w:val="21"/>
                <w:szCs w:val="21"/>
              </w:rPr>
              <w:t>使用教材：</w:t>
            </w:r>
            <w:r>
              <w:rPr>
                <w:sz w:val="21"/>
                <w:szCs w:val="21"/>
              </w:rPr>
              <w:t>国际商务谈判</w:t>
            </w:r>
            <w:r>
              <w:rPr>
                <w:rFonts w:hint="eastAsia"/>
                <w:sz w:val="21"/>
                <w:szCs w:val="21"/>
              </w:rPr>
              <w:t>(</w:t>
            </w:r>
            <w:r>
              <w:rPr>
                <w:sz w:val="21"/>
                <w:szCs w:val="21"/>
              </w:rPr>
              <w:t>第三版</w:t>
            </w:r>
            <w:r>
              <w:rPr>
                <w:rFonts w:hint="eastAsia"/>
                <w:sz w:val="21"/>
                <w:szCs w:val="21"/>
              </w:rPr>
              <w:t xml:space="preserve">)  </w:t>
            </w:r>
            <w:r>
              <w:rPr>
                <w:sz w:val="21"/>
                <w:szCs w:val="21"/>
              </w:rPr>
              <w:t>刘园</w:t>
            </w:r>
          </w:p>
          <w:p>
            <w:pPr>
              <w:snapToGrid w:val="0"/>
              <w:spacing w:line="360" w:lineRule="auto"/>
              <w:jc w:val="left"/>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kern w:val="36"/>
                <w:sz w:val="21"/>
                <w:szCs w:val="21"/>
                <w:lang w:eastAsia="zh-CN"/>
              </w:rPr>
              <w:t>(1)《国际商务谈判——原则、方法、艺术》，张祥;(2)《营销商务谈判技巧》，万成林，苏平主编，天津大学出版社; (3)《现代商务谈判》,李品媛主编，东北财经大学出版社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eastAsia="楷体_GB2312"/>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eastAsia="楷体_GB2312"/>
                <w:szCs w:val="21"/>
              </w:rPr>
              <w:t>国际商务谈判是一门实践性较强的专业方向课，其教学方式主要为课内讲授，并适当配合以案例分析。课内讲授</w:t>
            </w:r>
            <w:r>
              <w:rPr>
                <w:rFonts w:hint="eastAsia" w:eastAsia="楷体_GB2312"/>
                <w:szCs w:val="21"/>
                <w:lang w:eastAsia="zh-CN"/>
              </w:rPr>
              <w:t>36</w:t>
            </w:r>
            <w:r>
              <w:rPr>
                <w:rFonts w:hint="eastAsia" w:eastAsia="楷体_GB2312"/>
                <w:szCs w:val="21"/>
              </w:rPr>
              <w:t>学时。学生课内与课外所用时间之比</w:t>
            </w:r>
            <w:r>
              <w:rPr>
                <w:rFonts w:hint="eastAsia" w:eastAsia="楷体_GB2312"/>
                <w:szCs w:val="21"/>
                <w:lang w:eastAsia="zh-CN"/>
              </w:rPr>
              <w:t>应</w:t>
            </w:r>
            <w:r>
              <w:rPr>
                <w:rFonts w:hint="eastAsia" w:eastAsia="楷体_GB2312"/>
                <w:szCs w:val="21"/>
              </w:rPr>
              <w:t>为1</w:t>
            </w:r>
            <w:r>
              <w:rPr>
                <w:rFonts w:eastAsia="楷体_GB2312"/>
                <w:szCs w:val="21"/>
              </w:rPr>
              <w:sym w:font="Symbol" w:char="003A"/>
            </w:r>
            <w:r>
              <w:rPr>
                <w:rFonts w:hint="eastAsia" w:eastAsia="楷体_GB2312"/>
                <w:szCs w:val="21"/>
              </w:rPr>
              <w:t>1。通过对本课程的学习，使学生了解商务谈判的基本知识和理论观点；掌握商务谈判的基本原则和基本方法以及在谈判中所应注意到的特殊之处；能够针对实际情况运用这些原则和方法去分析问题解决问题，真正做到理论与实践相结合；培养学生理论联系实际的能力，培养从事市场营销和商务谈判工作的实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w:t>
            </w:r>
            <w:r>
              <w:rPr>
                <w:rFonts w:hint="eastAsia" w:eastAsia="楷体_GB2312"/>
                <w:szCs w:val="21"/>
              </w:rPr>
              <w:t xml:space="preserve"> 使学生了解商务谈判的基本知识和理论观点</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eastAsia="楷体_GB2312"/>
                <w:szCs w:val="21"/>
              </w:rPr>
              <w:t xml:space="preserve"> 使学生掌握商务谈判的基本原则和基本方法</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eastAsia="楷体_GB2312"/>
                <w:szCs w:val="21"/>
              </w:rPr>
              <w:t xml:space="preserve"> 培养</w:t>
            </w:r>
            <w:r>
              <w:rPr>
                <w:rFonts w:hint="eastAsia" w:eastAsia="楷体_GB2312"/>
                <w:szCs w:val="21"/>
                <w:lang w:eastAsia="zh-CN"/>
              </w:rPr>
              <w:t>学生</w:t>
            </w:r>
            <w:r>
              <w:rPr>
                <w:rFonts w:hint="eastAsia" w:eastAsia="楷体_GB2312"/>
                <w:szCs w:val="21"/>
              </w:rPr>
              <w:t>从事市场营销和商务谈判工作的实际能力</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9"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0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eastAsia="zh-CN"/>
              </w:rPr>
              <w:t>-2</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国际商务谈判概述</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4</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了解谈判的概念，商务谈判的概念及商务谈判的特点、种类；掌握国际商务谈判的PRAM模式，商务谈判的基本原则</w:t>
            </w:r>
          </w:p>
        </w:tc>
        <w:tc>
          <w:tcPr>
            <w:tcW w:w="708" w:type="dxa"/>
            <w:gridSpan w:val="2"/>
            <w:vAlign w:val="center"/>
          </w:tcPr>
          <w:p>
            <w:pPr>
              <w:jc w:val="center"/>
              <w:rPr>
                <w:rFonts w:eastAsia="楷体_GB2312"/>
                <w:szCs w:val="21"/>
              </w:rPr>
            </w:pPr>
            <w:r>
              <w:rPr>
                <w:rFonts w:eastAsia="楷体_GB2312"/>
                <w:szCs w:val="21"/>
              </w:rPr>
              <w:t>讲授</w:t>
            </w:r>
          </w:p>
          <w:p>
            <w:pPr>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3</w:t>
            </w:r>
            <w:r>
              <w:rPr>
                <w:rFonts w:hint="eastAsia" w:eastAsia="楷体_GB2312"/>
                <w:szCs w:val="21"/>
                <w:lang w:val="en-US" w:eastAsia="zh-CN"/>
              </w:rPr>
              <w:t>-4</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国际商务谈判前的准备</w:t>
            </w:r>
          </w:p>
        </w:tc>
        <w:tc>
          <w:tcPr>
            <w:tcW w:w="623" w:type="dxa"/>
            <w:vAlign w:val="center"/>
          </w:tcPr>
          <w:p>
            <w:pPr>
              <w:spacing w:after="0" w:line="0" w:lineRule="atLeast"/>
              <w:jc w:val="center"/>
              <w:rPr>
                <w:rFonts w:eastAsia="楷体_GB2312"/>
                <w:szCs w:val="21"/>
              </w:rPr>
            </w:pPr>
            <w:r>
              <w:rPr>
                <w:rFonts w:hint="eastAsia" w:eastAsia="楷体_GB2312"/>
                <w:szCs w:val="21"/>
                <w:lang w:val="en-US" w:eastAsia="zh-CN"/>
              </w:rPr>
              <w:t>4</w:t>
            </w:r>
          </w:p>
        </w:tc>
        <w:tc>
          <w:tcPr>
            <w:tcW w:w="4779" w:type="dxa"/>
            <w:gridSpan w:val="3"/>
            <w:vAlign w:val="center"/>
          </w:tcPr>
          <w:p>
            <w:pPr>
              <w:snapToGrid w:val="0"/>
              <w:spacing w:line="360" w:lineRule="auto"/>
              <w:jc w:val="center"/>
              <w:rPr>
                <w:rFonts w:eastAsia="楷体_GB2312"/>
                <w:szCs w:val="21"/>
                <w:lang w:eastAsia="zh-CN"/>
              </w:rPr>
            </w:pPr>
            <w:r>
              <w:rPr>
                <w:rFonts w:hint="eastAsia" w:eastAsia="楷体_GB2312"/>
                <w:szCs w:val="21"/>
              </w:rPr>
              <w:t>了解国际商务谈判人员的组织和管理</w:t>
            </w:r>
            <w:r>
              <w:rPr>
                <w:rFonts w:hint="eastAsia" w:eastAsia="楷体_GB2312"/>
                <w:szCs w:val="21"/>
                <w:lang w:eastAsia="zh-CN"/>
              </w:rPr>
              <w:t>，</w:t>
            </w:r>
            <w:r>
              <w:rPr>
                <w:rFonts w:hint="eastAsia" w:eastAsia="楷体_GB2312"/>
                <w:szCs w:val="21"/>
              </w:rPr>
              <w:t>国际商务谈判前需要做</w:t>
            </w:r>
            <w:r>
              <w:rPr>
                <w:rFonts w:hint="eastAsia" w:eastAsia="楷体_GB2312"/>
                <w:szCs w:val="21"/>
                <w:lang w:eastAsia="zh-CN"/>
              </w:rPr>
              <w:t>的</w:t>
            </w:r>
            <w:r>
              <w:rPr>
                <w:rFonts w:hint="eastAsia" w:eastAsia="楷体_GB2312"/>
                <w:szCs w:val="21"/>
              </w:rPr>
              <w:t>信息准备工作</w:t>
            </w:r>
          </w:p>
        </w:tc>
        <w:tc>
          <w:tcPr>
            <w:tcW w:w="708" w:type="dxa"/>
            <w:gridSpan w:val="2"/>
            <w:vAlign w:val="center"/>
          </w:tcPr>
          <w:p>
            <w:pPr>
              <w:spacing w:after="0" w:line="0" w:lineRule="atLeast"/>
              <w:jc w:val="center"/>
              <w:rPr>
                <w:rFonts w:eastAsia="楷体_GB2312"/>
                <w:szCs w:val="21"/>
              </w:rPr>
            </w:pPr>
            <w:r>
              <w:rPr>
                <w:rFonts w:eastAsia="楷体_GB2312"/>
                <w:szCs w:val="21"/>
              </w:rPr>
              <w:t>讲授</w:t>
            </w:r>
          </w:p>
        </w:tc>
        <w:tc>
          <w:tcPr>
            <w:tcW w:w="915" w:type="dxa"/>
            <w:vAlign w:val="center"/>
          </w:tcPr>
          <w:p>
            <w:pPr>
              <w:spacing w:after="0" w:line="0" w:lineRule="atLeast"/>
              <w:jc w:val="center"/>
              <w:rPr>
                <w:rFonts w:ascii="宋体" w:hAnsi="宋体" w:eastAsia="宋体"/>
                <w:sz w:val="21"/>
                <w:szCs w:val="21"/>
                <w:lang w:eastAsia="zh-CN"/>
              </w:rPr>
            </w:pPr>
            <w:r>
              <w:rPr>
                <w:rFonts w:hint="eastAsia" w:eastAsia="楷体_GB2312"/>
                <w:szCs w:val="21"/>
              </w:rPr>
              <w:t>作业1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lang w:val="en-US" w:eastAsia="zh-CN"/>
              </w:rPr>
              <w:t>5</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了解国际商务谈判中的技巧种类和分别</w:t>
            </w:r>
          </w:p>
        </w:tc>
        <w:tc>
          <w:tcPr>
            <w:tcW w:w="708" w:type="dxa"/>
            <w:gridSpan w:val="2"/>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6</w:t>
            </w:r>
            <w:r>
              <w:rPr>
                <w:rFonts w:hint="eastAsia" w:eastAsia="楷体_GB2312"/>
                <w:szCs w:val="21"/>
                <w:lang w:eastAsia="zh-CN"/>
              </w:rPr>
              <w:t>-</w:t>
            </w:r>
            <w:r>
              <w:rPr>
                <w:rFonts w:hint="eastAsia" w:eastAsia="楷体_GB2312"/>
                <w:szCs w:val="21"/>
                <w:lang w:val="en-US" w:eastAsia="zh-CN"/>
              </w:rPr>
              <w:t>7</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国际商务谈判礼仪</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eastAsia="zh-CN"/>
              </w:rPr>
              <w:t>4</w:t>
            </w:r>
          </w:p>
        </w:tc>
        <w:tc>
          <w:tcPr>
            <w:tcW w:w="4779" w:type="dxa"/>
            <w:gridSpan w:val="3"/>
            <w:tcBorders>
              <w:bottom w:val="single" w:color="auto" w:sz="4" w:space="0"/>
            </w:tcBorders>
            <w:vAlign w:val="center"/>
          </w:tcPr>
          <w:p>
            <w:pPr>
              <w:snapToGrid w:val="0"/>
              <w:spacing w:line="360" w:lineRule="auto"/>
              <w:ind w:firstLine="720" w:firstLineChars="0"/>
              <w:jc w:val="center"/>
              <w:rPr>
                <w:rFonts w:eastAsia="楷体_GB2312"/>
                <w:szCs w:val="21"/>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w:t>
            </w:r>
            <w:r>
              <w:rPr>
                <w:rFonts w:hint="eastAsia" w:eastAsia="楷体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8</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了解商务谈判的准备阶段，并掌握其策略</w:t>
            </w:r>
          </w:p>
        </w:tc>
        <w:tc>
          <w:tcPr>
            <w:tcW w:w="708" w:type="dxa"/>
            <w:gridSpan w:val="2"/>
            <w:tcBorders>
              <w:bottom w:val="single" w:color="auto" w:sz="4" w:space="0"/>
            </w:tcBorders>
            <w:vAlign w:val="center"/>
          </w:tcPr>
          <w:p>
            <w:pPr>
              <w:spacing w:after="0" w:line="0" w:lineRule="atLeast"/>
              <w:jc w:val="center"/>
              <w:rPr>
                <w:rFonts w:eastAsia="楷体_GB2312"/>
                <w:szCs w:val="21"/>
              </w:rPr>
            </w:pPr>
            <w:r>
              <w:rPr>
                <w:rFonts w:eastAsia="楷体_GB2312"/>
                <w:szCs w:val="21"/>
              </w:rPr>
              <w:t>讲授</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了解商务谈判的开局阶段，并掌握其策略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了解商务谈判的报价阶段，并掌握其策略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11-12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4</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w:t>
            </w:r>
            <w:r>
              <w:rPr>
                <w:rFonts w:hint="eastAsia" w:eastAsia="楷体_GB2312"/>
                <w:szCs w:val="21"/>
                <w:lang w:eastAsia="zh-CN"/>
              </w:rPr>
              <w:t>处理</w:t>
            </w:r>
            <w:r>
              <w:rPr>
                <w:rFonts w:hint="eastAsia" w:eastAsia="楷体_GB2312"/>
                <w:szCs w:val="21"/>
              </w:rPr>
              <w:t>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w:t>
            </w:r>
            <w:r>
              <w:rPr>
                <w:rFonts w:hint="eastAsia" w:eastAsia="楷体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sz w:val="21"/>
                <w:szCs w:val="21"/>
              </w:rPr>
            </w:pPr>
            <w:r>
              <w:rPr>
                <w:rFonts w:hint="eastAsia" w:eastAsia="楷体_GB2312"/>
                <w:szCs w:val="21"/>
              </w:rPr>
              <w:t>1</w:t>
            </w:r>
            <w:r>
              <w:rPr>
                <w:rFonts w:hint="eastAsia" w:eastAsia="楷体_GB2312"/>
                <w:szCs w:val="21"/>
                <w:lang w:val="en-US" w:eastAsia="zh-CN"/>
              </w:rPr>
              <w:t>4</w:t>
            </w:r>
          </w:p>
        </w:tc>
        <w:tc>
          <w:tcPr>
            <w:tcW w:w="172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eastAsia="楷体_GB2312"/>
                <w:szCs w:val="21"/>
              </w:rPr>
              <w:t>了解国际商务谈判中的技巧种类和分别</w:t>
            </w:r>
          </w:p>
        </w:tc>
        <w:tc>
          <w:tcPr>
            <w:tcW w:w="70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jc w:val="center"/>
              <w:rPr>
                <w:rFonts w:eastAsia="楷体_GB2312"/>
                <w:szCs w:val="21"/>
              </w:rPr>
            </w:pPr>
            <w:r>
              <w:rPr>
                <w:rFonts w:eastAsia="楷体_GB2312"/>
                <w:szCs w:val="21"/>
              </w:rPr>
              <w:t>讲授</w:t>
            </w:r>
          </w:p>
          <w:p>
            <w:pPr>
              <w:spacing w:after="0" w:line="0" w:lineRule="atLeast"/>
              <w:jc w:val="center"/>
            </w:pPr>
          </w:p>
        </w:tc>
        <w:tc>
          <w:tcPr>
            <w:tcW w:w="915"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widowControl w:val="0"/>
              <w:spacing w:after="0" w:line="360" w:lineRule="auto"/>
              <w:ind w:left="718"/>
              <w:jc w:val="center"/>
              <w:rPr>
                <w:rFonts w:eastAsia="楷体_GB2312"/>
                <w:szCs w:val="21"/>
              </w:rPr>
            </w:pPr>
            <w:r>
              <w:rPr>
                <w:rFonts w:hint="eastAsia" w:eastAsia="楷体_GB2312"/>
                <w:szCs w:val="21"/>
              </w:rPr>
              <w:t>掌握国际商务谈判中听、问、答、叙、看、辨以及说服的技巧</w:t>
            </w:r>
          </w:p>
          <w:p>
            <w:pPr>
              <w:snapToGrid w:val="0"/>
              <w:spacing w:line="360" w:lineRule="auto"/>
              <w:ind w:left="787" w:leftChars="228" w:hanging="240" w:hangingChars="100"/>
              <w:jc w:val="cente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ascii="宋体" w:hAnsi="宋体" w:eastAsia="宋体"/>
                <w:sz w:val="21"/>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6</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现代谈判理论和思想</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pPr>
            <w:r>
              <w:rPr>
                <w:rFonts w:hint="eastAsia" w:eastAsia="楷体_GB2312"/>
                <w:szCs w:val="21"/>
              </w:rPr>
              <w:t>了解博弈论的基本知识及其在谈判中的作用</w:t>
            </w:r>
            <w:r>
              <w:rPr>
                <w:rFonts w:hint="eastAsia" w:eastAsia="楷体_GB2312"/>
                <w:szCs w:val="21"/>
                <w:lang w:eastAsia="zh-CN"/>
              </w:rPr>
              <w:t>，</w:t>
            </w:r>
            <w:r>
              <w:rPr>
                <w:rFonts w:hint="eastAsia" w:eastAsia="楷体_GB2312"/>
                <w:szCs w:val="21"/>
              </w:rPr>
              <w:t>掌握理性谈判的定义及其应用</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ascii="宋体" w:hAnsi="宋体" w:eastAsia="宋体"/>
                <w:sz w:val="21"/>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32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tcBorders>
              <w:top w:val="single" w:color="auto" w:sz="4" w:space="0"/>
            </w:tcBorders>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C0C0C0"/>
            <w:vAlign w:val="center"/>
          </w:tcPr>
          <w:p>
            <w:pPr>
              <w:spacing w:after="0" w:line="0" w:lineRule="atLeast"/>
              <w:jc w:val="center"/>
              <w:rPr>
                <w:rFonts w:ascii="宋体" w:hAnsi="宋体" w:eastAsia="宋体"/>
                <w:sz w:val="21"/>
                <w:szCs w:val="21"/>
                <w:lang w:eastAsia="zh-CN"/>
              </w:rPr>
            </w:pPr>
            <w:r>
              <w:rPr>
                <w:rFonts w:hint="eastAsia" w:ascii="宋体" w:hAnsi="宋体" w:eastAsia="宋体"/>
                <w:b/>
                <w:sz w:val="21"/>
                <w:szCs w:val="21"/>
              </w:rPr>
              <w:t>周次</w:t>
            </w:r>
          </w:p>
        </w:tc>
        <w:tc>
          <w:tcPr>
            <w:tcW w:w="1728" w:type="dxa"/>
            <w:gridSpan w:val="2"/>
            <w:shd w:val="clear" w:color="auto" w:fill="C0C0C0"/>
            <w:vAlign w:val="center"/>
          </w:tcPr>
          <w:p>
            <w:pPr>
              <w:spacing w:after="0" w:line="0" w:lineRule="atLeast"/>
              <w:jc w:val="center"/>
            </w:pPr>
            <w:r>
              <w:rPr>
                <w:rFonts w:hint="eastAsia" w:ascii="宋体" w:hAnsi="宋体" w:eastAsia="宋体"/>
                <w:b/>
                <w:sz w:val="21"/>
                <w:szCs w:val="21"/>
              </w:rPr>
              <w:t>实验项目名称</w:t>
            </w:r>
          </w:p>
        </w:tc>
        <w:tc>
          <w:tcPr>
            <w:tcW w:w="623" w:type="dxa"/>
            <w:shd w:val="clear" w:color="auto" w:fill="C0C0C0"/>
            <w:vAlign w:val="center"/>
          </w:tcPr>
          <w:p>
            <w:pPr>
              <w:spacing w:after="0" w:line="0" w:lineRule="atLeast"/>
              <w:jc w:val="center"/>
            </w:pPr>
            <w:r>
              <w:rPr>
                <w:rFonts w:hint="eastAsia" w:ascii="宋体" w:hAnsi="宋体" w:eastAsia="宋体"/>
                <w:b/>
                <w:sz w:val="21"/>
                <w:szCs w:val="21"/>
              </w:rPr>
              <w:t>学时</w:t>
            </w:r>
          </w:p>
        </w:tc>
        <w:tc>
          <w:tcPr>
            <w:tcW w:w="3217" w:type="dxa"/>
            <w:gridSpan w:val="2"/>
            <w:shd w:val="clear" w:color="auto" w:fill="C0C0C0"/>
            <w:vAlign w:val="center"/>
          </w:tcPr>
          <w:p>
            <w:pPr>
              <w:spacing w:after="0" w:line="0" w:lineRule="atLeast"/>
              <w:jc w:val="center"/>
            </w:pPr>
            <w:r>
              <w:rPr>
                <w:rFonts w:hint="eastAsia" w:ascii="宋体" w:hAnsi="宋体" w:eastAsia="宋体"/>
                <w:b/>
                <w:sz w:val="21"/>
                <w:szCs w:val="21"/>
              </w:rPr>
              <w:t>重点与难点</w:t>
            </w:r>
          </w:p>
        </w:tc>
        <w:tc>
          <w:tcPr>
            <w:tcW w:w="1562" w:type="dxa"/>
            <w:shd w:val="clear" w:color="auto" w:fill="C0C0C0"/>
            <w:vAlign w:val="center"/>
          </w:tcPr>
          <w:p>
            <w:pPr>
              <w:spacing w:after="0" w:line="0" w:lineRule="atLeast"/>
              <w:jc w:val="center"/>
            </w:pPr>
            <w:r>
              <w:rPr>
                <w:rFonts w:hint="eastAsia" w:ascii="宋体" w:hAnsi="宋体" w:eastAsia="宋体"/>
                <w:b/>
                <w:sz w:val="21"/>
                <w:szCs w:val="21"/>
                <w:lang w:eastAsia="zh-CN"/>
              </w:rPr>
              <w:t>项目类型（验证/综合/设计）</w:t>
            </w:r>
          </w:p>
        </w:tc>
        <w:tc>
          <w:tcPr>
            <w:tcW w:w="1623" w:type="dxa"/>
            <w:gridSpan w:val="3"/>
            <w:shd w:val="clear" w:color="auto" w:fill="C0C0C0"/>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both"/>
              <w:rPr>
                <w:rFonts w:ascii="宋体" w:hAnsi="宋体" w:eastAsia="宋体"/>
                <w:b/>
                <w:sz w:val="21"/>
                <w:szCs w:val="21"/>
              </w:rPr>
            </w:pP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p>
        </w:tc>
        <w:tc>
          <w:tcPr>
            <w:tcW w:w="623" w:type="dxa"/>
            <w:tcMar>
              <w:left w:w="28" w:type="dxa"/>
              <w:right w:w="28" w:type="dxa"/>
            </w:tcMar>
            <w:vAlign w:val="center"/>
          </w:tcPr>
          <w:p>
            <w:pPr>
              <w:spacing w:after="0" w:line="0" w:lineRule="atLeast"/>
              <w:jc w:val="center"/>
              <w:rPr>
                <w:rFonts w:ascii="宋体" w:hAnsi="宋体" w:eastAsia="宋体"/>
                <w:b/>
                <w:sz w:val="21"/>
                <w:szCs w:val="21"/>
              </w:rPr>
            </w:pP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p>
        </w:tc>
        <w:tc>
          <w:tcPr>
            <w:tcW w:w="1562" w:type="dxa"/>
            <w:tcMar>
              <w:left w:w="28" w:type="dxa"/>
              <w:right w:w="28" w:type="dxa"/>
            </w:tcMar>
            <w:vAlign w:val="center"/>
          </w:tcPr>
          <w:p>
            <w:pPr>
              <w:spacing w:after="0" w:line="0" w:lineRule="atLeast"/>
              <w:jc w:val="center"/>
              <w:rPr>
                <w:rFonts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both"/>
              <w:rPr>
                <w:rFonts w:ascii="宋体" w:hAnsi="宋体" w:eastAsia="宋体"/>
                <w:sz w:val="21"/>
                <w:szCs w:val="21"/>
              </w:rPr>
            </w:pPr>
          </w:p>
        </w:tc>
        <w:tc>
          <w:tcPr>
            <w:tcW w:w="1728" w:type="dxa"/>
            <w:gridSpan w:val="2"/>
            <w:vAlign w:val="center"/>
          </w:tcPr>
          <w:p>
            <w:pPr>
              <w:spacing w:after="0" w:line="0" w:lineRule="atLeast"/>
              <w:jc w:val="center"/>
              <w:rPr>
                <w:rFonts w:ascii="宋体" w:hAnsi="宋体" w:eastAsia="宋体"/>
                <w:sz w:val="21"/>
                <w:szCs w:val="21"/>
              </w:rPr>
            </w:pPr>
          </w:p>
        </w:tc>
        <w:tc>
          <w:tcPr>
            <w:tcW w:w="623" w:type="dxa"/>
            <w:vAlign w:val="center"/>
          </w:tcPr>
          <w:p>
            <w:pPr>
              <w:spacing w:after="0" w:line="0" w:lineRule="atLeast"/>
              <w:jc w:val="center"/>
              <w:rPr>
                <w:rFonts w:ascii="宋体" w:hAnsi="宋体" w:eastAsia="宋体"/>
                <w:sz w:val="21"/>
                <w:szCs w:val="21"/>
              </w:rPr>
            </w:pPr>
          </w:p>
        </w:tc>
        <w:tc>
          <w:tcPr>
            <w:tcW w:w="3217" w:type="dxa"/>
            <w:gridSpan w:val="2"/>
            <w:vAlign w:val="center"/>
          </w:tcPr>
          <w:p>
            <w:pPr>
              <w:spacing w:after="0" w:line="0" w:lineRule="atLeast"/>
              <w:jc w:val="center"/>
              <w:rPr>
                <w:rFonts w:ascii="宋体" w:hAnsi="宋体" w:eastAsia="宋体"/>
                <w:sz w:val="21"/>
                <w:szCs w:val="21"/>
              </w:rPr>
            </w:pPr>
          </w:p>
        </w:tc>
        <w:tc>
          <w:tcPr>
            <w:tcW w:w="1562" w:type="dxa"/>
            <w:vAlign w:val="center"/>
          </w:tcPr>
          <w:p>
            <w:pPr>
              <w:spacing w:after="0" w:line="0" w:lineRule="atLeast"/>
              <w:jc w:val="center"/>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both"/>
              <w:rPr>
                <w:rFonts w:ascii="宋体" w:hAnsi="宋体" w:eastAsia="宋体"/>
                <w:sz w:val="21"/>
                <w:szCs w:val="21"/>
              </w:rPr>
            </w:pPr>
          </w:p>
        </w:tc>
        <w:tc>
          <w:tcPr>
            <w:tcW w:w="1728" w:type="dxa"/>
            <w:gridSpan w:val="2"/>
            <w:vAlign w:val="center"/>
          </w:tcPr>
          <w:p>
            <w:pPr>
              <w:spacing w:after="0" w:line="0" w:lineRule="atLeast"/>
              <w:jc w:val="center"/>
              <w:rPr>
                <w:rFonts w:ascii="宋体" w:hAnsi="宋体" w:eastAsia="宋体"/>
                <w:sz w:val="21"/>
                <w:szCs w:val="21"/>
              </w:rPr>
            </w:pPr>
          </w:p>
        </w:tc>
        <w:tc>
          <w:tcPr>
            <w:tcW w:w="623" w:type="dxa"/>
            <w:vAlign w:val="center"/>
          </w:tcPr>
          <w:p>
            <w:pPr>
              <w:spacing w:after="0" w:line="0" w:lineRule="atLeast"/>
              <w:jc w:val="center"/>
              <w:rPr>
                <w:rFonts w:ascii="宋体" w:hAnsi="宋体" w:eastAsia="宋体"/>
                <w:sz w:val="21"/>
                <w:szCs w:val="21"/>
              </w:rPr>
            </w:pPr>
          </w:p>
        </w:tc>
        <w:tc>
          <w:tcPr>
            <w:tcW w:w="3217" w:type="dxa"/>
            <w:gridSpan w:val="2"/>
            <w:vAlign w:val="center"/>
          </w:tcPr>
          <w:p>
            <w:pPr>
              <w:spacing w:after="0" w:line="0" w:lineRule="atLeast"/>
              <w:jc w:val="center"/>
              <w:rPr>
                <w:rFonts w:ascii="宋体" w:hAnsi="宋体" w:eastAsia="宋体"/>
                <w:sz w:val="21"/>
                <w:szCs w:val="21"/>
              </w:rPr>
            </w:pPr>
          </w:p>
        </w:tc>
        <w:tc>
          <w:tcPr>
            <w:tcW w:w="1562" w:type="dxa"/>
            <w:vAlign w:val="center"/>
          </w:tcPr>
          <w:p>
            <w:pPr>
              <w:spacing w:after="0" w:line="0" w:lineRule="atLeast"/>
              <w:jc w:val="center"/>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周次</w:t>
            </w:r>
          </w:p>
        </w:tc>
        <w:tc>
          <w:tcPr>
            <w:tcW w:w="1728" w:type="dxa"/>
            <w:gridSpan w:val="2"/>
            <w:vAlign w:val="center"/>
          </w:tcPr>
          <w:p>
            <w:pPr>
              <w:spacing w:after="0" w:line="0" w:lineRule="atLeast"/>
              <w:jc w:val="center"/>
            </w:pPr>
            <w:r>
              <w:rPr>
                <w:rFonts w:hint="eastAsia" w:ascii="宋体" w:hAnsi="宋体" w:eastAsia="宋体"/>
                <w:b/>
                <w:sz w:val="21"/>
                <w:szCs w:val="21"/>
              </w:rPr>
              <w:t>教学主题</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教学时长</w:t>
            </w:r>
          </w:p>
        </w:tc>
        <w:tc>
          <w:tcPr>
            <w:tcW w:w="4779" w:type="dxa"/>
            <w:gridSpan w:val="3"/>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教学的重点与难点</w:t>
            </w:r>
          </w:p>
        </w:tc>
        <w:tc>
          <w:tcPr>
            <w:tcW w:w="708" w:type="dxa"/>
            <w:gridSpan w:val="2"/>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教学方式</w:t>
            </w:r>
          </w:p>
        </w:tc>
        <w:tc>
          <w:tcPr>
            <w:tcW w:w="915" w:type="dxa"/>
            <w:vAlign w:val="center"/>
          </w:tcPr>
          <w:p>
            <w:pPr>
              <w:spacing w:after="0" w:line="0" w:lineRule="atLeast"/>
              <w:jc w:val="cente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lang w:eastAsia="zh-CN"/>
              </w:rPr>
            </w:pPr>
            <w:r>
              <w:rPr>
                <w:b/>
                <w:szCs w:val="21"/>
              </w:rPr>
              <w:t>到堂情况</w:t>
            </w:r>
          </w:p>
        </w:tc>
        <w:tc>
          <w:tcPr>
            <w:tcW w:w="5811" w:type="dxa"/>
            <w:gridSpan w:val="6"/>
            <w:vAlign w:val="center"/>
          </w:tcPr>
          <w:p>
            <w:pPr>
              <w:snapToGrid w:val="0"/>
              <w:spacing w:line="400" w:lineRule="exact"/>
              <w:jc w:val="center"/>
              <w:rPr>
                <w:rFonts w:eastAsia="楷体_GB2312"/>
                <w:szCs w:val="21"/>
              </w:rPr>
            </w:pPr>
            <w:r>
              <w:rPr>
                <w:rFonts w:eastAsia="楷体_GB2312"/>
                <w:szCs w:val="21"/>
              </w:rPr>
              <w:t>（满分100分）旷课1次扣20分，迟到1次扣10分（百分制）</w:t>
            </w:r>
          </w:p>
        </w:tc>
        <w:tc>
          <w:tcPr>
            <w:tcW w:w="1583" w:type="dxa"/>
            <w:gridSpan w:val="2"/>
            <w:vAlign w:val="center"/>
          </w:tcPr>
          <w:p>
            <w:pPr>
              <w:snapToGrid w:val="0"/>
              <w:spacing w:after="0" w:line="0" w:lineRule="atLeast"/>
              <w:ind w:left="180"/>
              <w:jc w:val="center"/>
              <w:rPr>
                <w:rFonts w:eastAsia="楷体_GB2312"/>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完成作业</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不能完成作业每次扣50分（百分制）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期末考核</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按照</w:t>
            </w:r>
            <w:r>
              <w:rPr>
                <w:rFonts w:hint="eastAsia" w:eastAsia="楷体_GB2312"/>
                <w:szCs w:val="21"/>
                <w:lang w:eastAsia="zh-CN"/>
              </w:rPr>
              <w:t>课程论文</w:t>
            </w:r>
            <w:r>
              <w:rPr>
                <w:rFonts w:eastAsia="楷体_GB2312"/>
                <w:szCs w:val="21"/>
              </w:rPr>
              <w:t>的完成情况（百分制）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70</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大纲编写时间：2017年9月7日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0"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jc w:val="left"/>
              <w:rPr>
                <w:rFonts w:ascii="宋体" w:hAnsi="宋体" w:eastAsia="宋体"/>
                <w:b/>
                <w:sz w:val="21"/>
                <w:szCs w:val="21"/>
                <w:lang w:eastAsia="zh-CN"/>
              </w:rPr>
            </w:pPr>
          </w:p>
          <w:p>
            <w:pPr>
              <w:spacing w:after="0" w:line="0" w:lineRule="atLeast"/>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ind w:right="420"/>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Latha"/>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MingLiU">
    <w:panose1 w:val="02020509000000000000"/>
    <w:charset w:val="88"/>
    <w:family w:val="auto"/>
    <w:pitch w:val="default"/>
    <w:sig w:usb0="A00002FF" w:usb1="28CFFCFA" w:usb2="00000016" w:usb3="00000000" w:csb0="00100001" w:csb1="00000000"/>
  </w:font>
  <w:font w:name="Latha">
    <w:panose1 w:val="020B0604020202020204"/>
    <w:charset w:val="00"/>
    <w:family w:val="auto"/>
    <w:pitch w:val="default"/>
    <w:sig w:usb0="00100003"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Malgun Gothic Semilight">
    <w:altName w:val="宋体"/>
    <w:panose1 w:val="020B0502040204020203"/>
    <w:charset w:val="86"/>
    <w:family w:val="swiss"/>
    <w:pitch w:val="default"/>
    <w:sig w:usb0="00000000" w:usb1="00000000" w:usb2="00000012" w:usb3="00000000" w:csb0="003E01BD"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03A91"/>
    <w:rsid w:val="0063410F"/>
    <w:rsid w:val="0065651C"/>
    <w:rsid w:val="00710AA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D2192"/>
    <w:rsid w:val="00AE48DD"/>
    <w:rsid w:val="00BB35F5"/>
    <w:rsid w:val="00C41D05"/>
    <w:rsid w:val="00C5389E"/>
    <w:rsid w:val="00C705DD"/>
    <w:rsid w:val="00C76FA2"/>
    <w:rsid w:val="00CA1AB8"/>
    <w:rsid w:val="00CC4A46"/>
    <w:rsid w:val="00CD2F8F"/>
    <w:rsid w:val="00D45246"/>
    <w:rsid w:val="00D62B41"/>
    <w:rsid w:val="00DB45CF"/>
    <w:rsid w:val="00DB5724"/>
    <w:rsid w:val="00DF5C03"/>
    <w:rsid w:val="00E0505F"/>
    <w:rsid w:val="00E413E8"/>
    <w:rsid w:val="00E53E23"/>
    <w:rsid w:val="00E70C6B"/>
    <w:rsid w:val="00EC2295"/>
    <w:rsid w:val="00ED3FCA"/>
    <w:rsid w:val="00F31667"/>
    <w:rsid w:val="00F617C2"/>
    <w:rsid w:val="00F96D96"/>
    <w:rsid w:val="00FE22C8"/>
    <w:rsid w:val="13C57C8E"/>
    <w:rsid w:val="28AD1D92"/>
    <w:rsid w:val="2C23799B"/>
    <w:rsid w:val="38D226B6"/>
    <w:rsid w:val="4B5E3D36"/>
    <w:rsid w:val="62602DFF"/>
    <w:rsid w:val="75907035"/>
    <w:rsid w:val="77505FD1"/>
    <w:rsid w:val="7772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5"/>
    <w:qFormat/>
    <w:uiPriority w:val="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列出段落2"/>
    <w:basedOn w:val="1"/>
    <w:unhideWhenUsed/>
    <w:qFormat/>
    <w:uiPriority w:val="34"/>
    <w:pPr>
      <w:ind w:firstLine="420" w:firstLineChars="200"/>
    </w:pPr>
  </w:style>
  <w:style w:type="character" w:customStyle="1" w:styleId="14">
    <w:name w:val="批注框文本 Char"/>
    <w:basedOn w:val="6"/>
    <w:link w:val="3"/>
    <w:uiPriority w:val="0"/>
    <w:rPr>
      <w:rFonts w:eastAsia="PMingLiU"/>
      <w:sz w:val="18"/>
      <w:szCs w:val="18"/>
      <w:lang w:eastAsia="en-US"/>
    </w:rPr>
  </w:style>
  <w:style w:type="character" w:customStyle="1" w:styleId="15">
    <w:name w:val="标题 1 Char"/>
    <w:basedOn w:val="6"/>
    <w:link w:val="2"/>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64F3B5-0521-4091-A096-B4DBD9D29E0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1601</Words>
  <Characters>495</Characters>
  <Lines>4</Lines>
  <Paragraphs>4</Paragraphs>
  <ScaleCrop>false</ScaleCrop>
  <LinksUpToDate>false</LinksUpToDate>
  <CharactersWithSpaces>2092</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刘璇</cp:lastModifiedBy>
  <cp:lastPrinted>2017-01-05T16:24:00Z</cp:lastPrinted>
  <dcterms:modified xsi:type="dcterms:W3CDTF">2017-10-30T02:22:21Z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